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27.png" ContentType="image/png"/>
  <Override PartName="/word/media/rId30.jpg" ContentType="image/jpe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</w:p>
    <w:p>
      <w:pPr>
        <w:pStyle w:val="Subtitle"/>
      </w:pPr>
      <w:r>
        <w:t xml:space="preserve">Номер</w:t>
      </w:r>
      <w:r>
        <w:t xml:space="preserve"> </w:t>
      </w:r>
      <w:r>
        <w:t xml:space="preserve">5</w:t>
      </w:r>
    </w:p>
    <w:p>
      <w:pPr>
        <w:pStyle w:val="Author"/>
      </w:pPr>
      <w:r>
        <w:t xml:space="preserve">Кобзев</w:t>
      </w:r>
      <w:r>
        <w:t xml:space="preserve"> </w:t>
      </w:r>
      <w:r>
        <w:t xml:space="preserve">Д.</w:t>
      </w:r>
      <w:r>
        <w:t xml:space="preserve"> </w:t>
      </w:r>
      <w:r>
        <w:t xml:space="preserve">К.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построение простейших моделей сети на базе коммутатора и маршрутизаторов FRR и VyOS в GNS3, анализ трафика посредством Wireshark.</w:t>
      </w:r>
    </w:p>
    <w:bookmarkEnd w:id="20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Запускаем GNS3 VM и GNS3. Создаем новый проект.</w:t>
      </w:r>
    </w:p>
    <w:p>
      <w:pPr>
        <w:pStyle w:val="BodyText"/>
      </w:pPr>
      <w:r>
        <w:t xml:space="preserve">В рабочей области GNS3 размещаем коммутатор Ethernet и два VPCS.</w:t>
      </w:r>
    </w:p>
    <w:p>
      <w:pPr>
        <w:pStyle w:val="BodyText"/>
      </w:pPr>
      <w:r>
        <w:t xml:space="preserve">Изменяем название устройства, включив в имя устройства имя моей учётной записи.</w:t>
      </w:r>
    </w:p>
    <w:p>
      <w:pPr>
        <w:pStyle w:val="BodyText"/>
      </w:pPr>
      <w:r>
        <w:t xml:space="preserve">Соединяем VPCS с коммутатором (Рис. 12.1).</w:t>
      </w:r>
    </w:p>
    <w:p>
      <w:pPr>
        <w:pStyle w:val="CaptionedFigure"/>
      </w:pPr>
      <w:r>
        <w:drawing>
          <wp:inline>
            <wp:extent cx="5334000" cy="1960719"/>
            <wp:effectExtent b="0" l="0" r="0" t="0"/>
            <wp:docPr descr="Топология простейше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Топология простейшей сети в GNS3</w:t>
      </w:r>
    </w:p>
    <w:p>
      <w:pPr>
        <w:pStyle w:val="BodyText"/>
      </w:pPr>
      <w:r>
        <w:t xml:space="preserve">Задаем IP-адреса 192.168.1.11 в сети 192.168.1.0/24. Сохраняем конфигурацию. Аналогичным образом задаем IP-адрес 192.168.1.12 для PC-2.</w:t>
      </w:r>
    </w:p>
    <w:p>
      <w:pPr>
        <w:pStyle w:val="BodyText"/>
      </w:pPr>
      <w:r>
        <w:t xml:space="preserve">Проверяем работоспособность соединения между PC-1 и PC-2 с помощью</w:t>
      </w:r>
      <w:r>
        <w:t xml:space="preserve"> </w:t>
      </w:r>
      <w:r>
        <w:t xml:space="preserve">команды ping (Рис. 12.2).</w:t>
      </w:r>
    </w:p>
    <w:p>
      <w:pPr>
        <w:pStyle w:val="CaptionedFigure"/>
      </w:pPr>
      <w:r>
        <w:drawing>
          <wp:inline>
            <wp:extent cx="4610366" cy="2078181"/>
            <wp:effectExtent b="0" l="0" r="0" t="0"/>
            <wp:docPr descr="Задание IP-адреса и сохранение конфигурации VPCS в GNS3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366" cy="2078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IP-адреса и сохранение конфигурации VPCS в GNS3</w:t>
      </w:r>
    </w:p>
    <w:p>
      <w:pPr>
        <w:pStyle w:val="CaptionedFigure"/>
      </w:pPr>
      <w:r>
        <w:drawing>
          <wp:inline>
            <wp:extent cx="4482478" cy="2039815"/>
            <wp:effectExtent b="0" l="0" r="0" t="0"/>
            <wp:docPr descr="Задание IP-адреса и сохранение конфигурации VPCS в GNS3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78" cy="2039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IP-адреса и сохранение конфигурации VPCS в GNS3</w:t>
      </w:r>
    </w:p>
    <w:p>
      <w:pPr>
        <w:pStyle w:val="BodyText"/>
      </w:pPr>
      <w:r>
        <w:t xml:space="preserve">Запускаем на соединении между PC-1 и коммутатором анализатор трафика. В проекте GNS3 стартуем все узлы.</w:t>
      </w:r>
    </w:p>
    <w:p>
      <w:pPr>
        <w:pStyle w:val="BodyText"/>
      </w:pPr>
      <w:r>
        <w:t xml:space="preserve">В терминале PC-2 делаем по одному эхо-запросу в ICMP-моде, в UDP-моде и TCP-моде к узлу PC-1 (Рис. 12.4).</w:t>
      </w:r>
    </w:p>
    <w:p>
      <w:pPr>
        <w:pStyle w:val="CaptionedFigure"/>
      </w:pPr>
      <w:r>
        <w:drawing>
          <wp:inline>
            <wp:extent cx="4495800" cy="4311650"/>
            <wp:effectExtent b="0" l="0" r="0" t="0"/>
            <wp:docPr descr="Эхо-запросы к узлу PC-1" title="" id="31" name="Picture"/>
            <a:graphic>
              <a:graphicData uri="http://schemas.openxmlformats.org/drawingml/2006/picture">
                <pic:pic>
                  <pic:nvPicPr>
                    <pic:cNvPr descr="image/4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Эхо-запросы к узлу PC-1</w:t>
      </w:r>
    </w:p>
    <w:p>
      <w:pPr>
        <w:pStyle w:val="BodyText"/>
      </w:pPr>
      <w:r>
        <w:t xml:space="preserve">Смотрим полученную информацию в Wireshark (Рис. 12.5), (Рис. 12.6).</w:t>
      </w:r>
    </w:p>
    <w:p>
      <w:pPr>
        <w:pStyle w:val="CaptionedFigure"/>
      </w:pPr>
      <w:r>
        <w:drawing>
          <wp:inline>
            <wp:extent cx="5334000" cy="2280183"/>
            <wp:effectExtent b="0" l="0" r="0" t="0"/>
            <wp:docPr descr="Полученная в Wireshark информация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0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в Wireshark информация</w:t>
      </w:r>
    </w:p>
    <w:p>
      <w:pPr>
        <w:pStyle w:val="CaptionedFigure"/>
      </w:pPr>
      <w:r>
        <w:drawing>
          <wp:inline>
            <wp:extent cx="5334000" cy="2291223"/>
            <wp:effectExtent b="0" l="0" r="0" t="0"/>
            <wp:docPr descr="Полученная в Wireshark информация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в Wireshark информация</w:t>
      </w:r>
    </w:p>
    <w:p>
      <w:pPr>
        <w:pStyle w:val="BodyText"/>
      </w:pPr>
      <w:r>
        <w:t xml:space="preserve">Создаем новый проект. В рабочей области GNS3 размещаем VPCS, коммутатор Ethernet и маршрутизатор FRR. Изменяем отображаемые названия устройств. Включаем захват трафика на соединении между коммутатором и маршрутизатором. Запускаем все устройства проекта. Открываем консоль всех устройств проекта (Рис. 12.7).</w:t>
      </w:r>
    </w:p>
    <w:p>
      <w:pPr>
        <w:pStyle w:val="CaptionedFigure"/>
      </w:pPr>
      <w:r>
        <w:drawing>
          <wp:inline>
            <wp:extent cx="5334000" cy="1090639"/>
            <wp:effectExtent b="0" l="0" r="0" t="0"/>
            <wp:docPr descr="Топология простейшей сети с маршрутизатором в GNS3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0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Топология простейшей сети с маршрутизатором в GNS3</w:t>
      </w:r>
    </w:p>
    <w:p>
      <w:pPr>
        <w:pStyle w:val="BodyText"/>
      </w:pPr>
      <w:r>
        <w:t xml:space="preserve">Настраиваем IP-адресацию для интерфейса узла PC1 (Рис. 12.8).</w:t>
      </w:r>
    </w:p>
    <w:p>
      <w:pPr>
        <w:pStyle w:val="CaptionedFigure"/>
      </w:pPr>
      <w:r>
        <w:drawing>
          <wp:inline>
            <wp:extent cx="4149969" cy="2615311"/>
            <wp:effectExtent b="0" l="0" r="0" t="0"/>
            <wp:docPr descr="Настройка IP-адресации для интерфейса узла PC1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69" cy="2615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IP-адресации для интерфейса узла PC1</w:t>
      </w:r>
    </w:p>
    <w:p>
      <w:pPr>
        <w:pStyle w:val="BodyText"/>
      </w:pPr>
      <w:r>
        <w:t xml:space="preserve">Настраиваем IP-адресацию для интерфейса локальной сети маршрутизатора.</w:t>
      </w:r>
    </w:p>
    <w:p>
      <w:pPr>
        <w:pStyle w:val="BodyText"/>
      </w:pPr>
      <w:r>
        <w:t xml:space="preserve">Проверяем конфигурацию маршрутизатора и настройки IP-адресации (Рис. 12.9).</w:t>
      </w:r>
    </w:p>
    <w:p>
      <w:pPr>
        <w:pStyle w:val="CaptionedFigure"/>
      </w:pPr>
      <w:r>
        <w:drawing>
          <wp:inline>
            <wp:extent cx="4341801" cy="6810041"/>
            <wp:effectExtent b="0" l="0" r="0" t="0"/>
            <wp:docPr descr="Настройка IP-адресации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801" cy="681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IP-адресации</w:t>
      </w:r>
    </w:p>
    <w:p>
      <w:pPr>
        <w:pStyle w:val="BodyText"/>
      </w:pPr>
      <w:r>
        <w:t xml:space="preserve">Проверяем подключение. Узел PC1 успешно отправляет эхо-запросы на адрес маршрутизатора 192.168.1.1 (Рис. 12.10).</w:t>
      </w:r>
    </w:p>
    <w:p>
      <w:pPr>
        <w:pStyle w:val="CaptionedFigure"/>
      </w:pPr>
      <w:r>
        <w:drawing>
          <wp:inline>
            <wp:extent cx="5334000" cy="3086060"/>
            <wp:effectExtent b="0" l="0" r="0" t="0"/>
            <wp:docPr descr="Проверка подключения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подключения</w:t>
      </w:r>
    </w:p>
    <w:p>
      <w:pPr>
        <w:pStyle w:val="BodyText"/>
      </w:pPr>
      <w:r>
        <w:t xml:space="preserve">В окне Wireshark анализируем полученную информацию (Рис. 12.11), (Рис. 12.12).</w:t>
      </w:r>
    </w:p>
    <w:p>
      <w:pPr>
        <w:pStyle w:val="CaptionedFigure"/>
      </w:pPr>
      <w:r>
        <w:drawing>
          <wp:inline>
            <wp:extent cx="5334000" cy="2819186"/>
            <wp:effectExtent b="0" l="0" r="0" t="0"/>
            <wp:docPr descr="Полученная информация в Wireshark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9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информация в Wireshark</w:t>
      </w:r>
    </w:p>
    <w:p>
      <w:pPr>
        <w:pStyle w:val="CaptionedFigure"/>
      </w:pPr>
      <w:r>
        <w:drawing>
          <wp:inline>
            <wp:extent cx="5334000" cy="2766700"/>
            <wp:effectExtent b="0" l="0" r="0" t="0"/>
            <wp:docPr descr="Полученная информация в Wireshark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информация в Wireshark</w:t>
      </w:r>
    </w:p>
    <w:p>
      <w:pPr>
        <w:pStyle w:val="BodyText"/>
      </w:pPr>
      <w:r>
        <w:t xml:space="preserve">Создаем новый проект. В рабочей области GNS3 размещаем VPCS, коммутатор Ethernet и маршрутизатор VyOS. Изменяем отображаемые названия устройств. Включаем захват трафика на соединении между коммутатором и маршрутизатором. Запускаем все устройства проекта (Рис. 12.13).</w:t>
      </w:r>
    </w:p>
    <w:p>
      <w:pPr>
        <w:pStyle w:val="CaptionedFigure"/>
      </w:pPr>
      <w:r>
        <w:drawing>
          <wp:inline>
            <wp:extent cx="5334000" cy="1317255"/>
            <wp:effectExtent b="0" l="0" r="0" t="0"/>
            <wp:docPr descr="Топология простейшей сети с маршрутизатором в GNS3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Топология простейшей сети с маршрутизатором в GNS3</w:t>
      </w:r>
    </w:p>
    <w:p>
      <w:pPr>
        <w:pStyle w:val="BodyText"/>
      </w:pPr>
      <w:r>
        <w:t xml:space="preserve">Настраиваем IP-адресацию для интерфейса узла PC1 (Рис. 12.10).</w:t>
      </w:r>
    </w:p>
    <w:p>
      <w:pPr>
        <w:pStyle w:val="CaptionedFigure"/>
      </w:pPr>
      <w:r>
        <w:drawing>
          <wp:inline>
            <wp:extent cx="4277857" cy="2634495"/>
            <wp:effectExtent b="0" l="0" r="0" t="0"/>
            <wp:docPr descr="Настройка IP-адресации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857" cy="263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IP-адресации</w:t>
      </w:r>
    </w:p>
    <w:p>
      <w:pPr>
        <w:pStyle w:val="BodyText"/>
      </w:pPr>
      <w:r>
        <w:t xml:space="preserve">Настройте маршрутизатор VyOS. Переходим в режим конфигурирования. Изменяем имя устройства. Задаем IP-адрес на интерфейсе eth0. Смотрим внесённые в конфигурацию изменения. Применяем изменения в конфигурации и сохраняем саму конфигурацию. Смотрим информацию об интерфейсах маршрутизатора. Выходим из режима конфигурирования (Рис. 12.15).</w:t>
      </w:r>
    </w:p>
    <w:p>
      <w:pPr>
        <w:pStyle w:val="CaptionedFigure"/>
      </w:pPr>
      <w:r>
        <w:drawing>
          <wp:inline>
            <wp:extent cx="5334000" cy="5512171"/>
            <wp:effectExtent b="0" l="0" r="0" t="0"/>
            <wp:docPr descr="Настройка маршрутизатора VyOS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2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маршрутизатора VyOS</w:t>
      </w:r>
    </w:p>
    <w:p>
      <w:pPr>
        <w:pStyle w:val="BodyText"/>
      </w:pPr>
      <w:r>
        <w:t xml:space="preserve">Проверяем подключение. Узел PC1 успешно отправляет эхо-запросы на адрес маршрутизатора 192.168.1.1 (Рис. 12.16).</w:t>
      </w:r>
    </w:p>
    <w:p>
      <w:pPr>
        <w:pStyle w:val="CaptionedFigure"/>
      </w:pPr>
      <w:r>
        <w:drawing>
          <wp:inline>
            <wp:extent cx="5334000" cy="3124913"/>
            <wp:effectExtent b="0" l="0" r="0" t="0"/>
            <wp:docPr descr="Проверка подключения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подключения</w:t>
      </w:r>
    </w:p>
    <w:p>
      <w:pPr>
        <w:pStyle w:val="BodyText"/>
      </w:pPr>
      <w:r>
        <w:t xml:space="preserve">В окне Wireshark анализируем полученную информацию (Рис. 12.17), (Рис. 12.18).</w:t>
      </w:r>
    </w:p>
    <w:p>
      <w:pPr>
        <w:pStyle w:val="CaptionedFigure"/>
      </w:pPr>
      <w:r>
        <w:drawing>
          <wp:inline>
            <wp:extent cx="5334000" cy="2804991"/>
            <wp:effectExtent b="0" l="0" r="0" t="0"/>
            <wp:docPr descr="Полученная информация в Wireshark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информация в Wireshark</w:t>
      </w:r>
    </w:p>
    <w:p>
      <w:pPr>
        <w:pStyle w:val="CaptionedFigure"/>
      </w:pPr>
      <w:r>
        <w:drawing>
          <wp:inline>
            <wp:extent cx="5334000" cy="2507179"/>
            <wp:effectExtent b="0" l="0" r="0" t="0"/>
            <wp:docPr descr="Полученная информация в Wireshark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Полученная информация в Wireshark</w:t>
      </w:r>
    </w:p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мною были построены простейшие модели сети на базе коммутатора и маршрутизаторов FRR и VyOS в GNS3, анализ трафика посредством Wireshark.</w:t>
      </w:r>
    </w:p>
    <w:bookmarkEnd w:id="76"/>
    <w:bookmarkStart w:id="77" w:name="список-литературы"/>
    <w:p>
      <w:pPr>
        <w:pStyle w:val="Heading1"/>
      </w:pPr>
      <w:r>
        <w:t xml:space="preserve">Список литературы</w:t>
      </w:r>
    </w:p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jp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</dc:title>
  <dc:creator>Кобзев Д. К.</dc:creator>
  <dc:language>ru-RU</dc:language>
  <cp:keywords/>
  <dcterms:created xsi:type="dcterms:W3CDTF">2025-12-01T18:40:29Z</dcterms:created>
  <dcterms:modified xsi:type="dcterms:W3CDTF">2025-12-01T18:40:29Z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iography">
    <vt:lpwstr>bib/cite.bib</vt:lpwstr>
  </property>
  <property fmtid="{D5CDD505-2E9C-101B-9397-08002B2CF9AE}" pid="7" name="ccsDelim">
    <vt:lpwstr>, </vt:lpwstr>
  </property>
  <property fmtid="{D5CDD505-2E9C-101B-9397-08002B2CF9AE}" pid="8" name="ccsLabelSep">
    <vt:lpwstr> — </vt:lpwstr>
  </property>
  <property fmtid="{D5CDD505-2E9C-101B-9397-08002B2CF9AE}" pid="9" name="ccsTemplate">
    <vt:lpwstr>iccsLabelSept</vt:lpwstr>
  </property>
  <property fmtid="{D5CDD505-2E9C-101B-9397-08002B2CF9AE}" pid="10" name="chapDelim">
    <vt:lpwstr>.</vt:lpwstr>
  </property>
  <property fmtid="{D5CDD505-2E9C-101B-9397-08002B2CF9AE}" pid="11" name="chapters">
    <vt:lpwstr>False</vt:lpwstr>
  </property>
  <property fmtid="{D5CDD505-2E9C-101B-9397-08002B2CF9AE}" pid="12" name="chaptersDepth">
    <vt:lpwstr>1</vt:lpwstr>
  </property>
  <property fmtid="{D5CDD505-2E9C-101B-9397-08002B2CF9AE}" pid="13" name="codeBlockCaptions">
    <vt:lpwstr>False</vt:lpwstr>
  </property>
  <property fmtid="{D5CDD505-2E9C-101B-9397-08002B2CF9AE}" pid="14" name="cref">
    <vt:lpwstr>False</vt:lpwstr>
  </property>
  <property fmtid="{D5CDD505-2E9C-101B-9397-08002B2CF9AE}" pid="15" name="crossrefYaml">
    <vt:lpwstr>pandoc-crossref.yaml</vt:lpwstr>
  </property>
  <property fmtid="{D5CDD505-2E9C-101B-9397-08002B2CF9AE}" pid="16" name="csl">
    <vt:lpwstr>/home/dkkobzev/pandoc/csl/gost-r-7-0-5-2008-numeric.csl</vt:lpwstr>
  </property>
  <property fmtid="{D5CDD505-2E9C-101B-9397-08002B2CF9AE}" pid="17" name="documentclass">
    <vt:lpwstr>scrreprt</vt:lpwstr>
  </property>
  <property fmtid="{D5CDD505-2E9C-101B-9397-08002B2CF9AE}" pid="18" name="eqLabels">
    <vt:lpwstr>arabic</vt:lpwstr>
  </property>
  <property fmtid="{D5CDD505-2E9C-101B-9397-08002B2CF9AE}" pid="19" name="eqnBlockInlineMath">
    <vt:lpwstr>False</vt:lpwstr>
  </property>
  <property fmtid="{D5CDD505-2E9C-101B-9397-08002B2CF9AE}" pid="20" name="eqnBlockTemplate">
    <vt:lpwstr>ti</vt:lpwstr>
  </property>
  <property fmtid="{D5CDD505-2E9C-101B-9397-08002B2CF9AE}" pid="21" name="eqnIndexTemplate">
    <vt:lpwstr>(i)</vt:lpwstr>
  </property>
  <property fmtid="{D5CDD505-2E9C-101B-9397-08002B2CF9AE}" pid="22" name="eqnInlineTemplate">
    <vt:lpwstr>eequationNumberTeX{i}</vt:lpwstr>
  </property>
  <property fmtid="{D5CDD505-2E9C-101B-9397-08002B2CF9AE}" pid="23" name="eqnPrefix">
    <vt:lpwstr/>
  </property>
  <property fmtid="{D5CDD505-2E9C-101B-9397-08002B2CF9AE}" pid="24" name="eqnPrefixTemplate">
    <vt:lpwstr>p i</vt:lpwstr>
  </property>
  <property fmtid="{D5CDD505-2E9C-101B-9397-08002B2CF9AE}" pid="25" name="equationNumberTeX">
    <vt:lpwstr>\qquad</vt:lpwstr>
  </property>
  <property fmtid="{D5CDD505-2E9C-101B-9397-08002B2CF9AE}" pid="26" name="figLabels">
    <vt:lpwstr>arabic</vt:lpwstr>
  </property>
  <property fmtid="{D5CDD505-2E9C-101B-9397-08002B2CF9AE}" pid="27" name="figPrefix">
    <vt:lpwstr/>
  </property>
  <property fmtid="{D5CDD505-2E9C-101B-9397-08002B2CF9AE}" pid="28" name="figPrefixTemplate">
    <vt:lpwstr>p i</vt:lpwstr>
  </property>
  <property fmtid="{D5CDD505-2E9C-101B-9397-08002B2CF9AE}" pid="29" name="figureTemplate">
    <vt:lpwstr>figureTitle ititleDelim t</vt:lpwstr>
  </property>
  <property fmtid="{D5CDD505-2E9C-101B-9397-08002B2CF9AE}" pid="30" name="figureTitle">
    <vt:lpwstr>Рис.</vt:lpwstr>
  </property>
  <property fmtid="{D5CDD505-2E9C-101B-9397-08002B2CF9AE}" pid="31" name="fontsize">
    <vt:lpwstr>12pt</vt:lpwstr>
  </property>
  <property fmtid="{D5CDD505-2E9C-101B-9397-08002B2CF9AE}" pid="32" name="header-includes">
    <vt:lpwstr/>
  </property>
  <property fmtid="{D5CDD505-2E9C-101B-9397-08002B2CF9AE}" pid="33" name="indent">
    <vt:lpwstr>True</vt:lpwstr>
  </property>
  <property fmtid="{D5CDD505-2E9C-101B-9397-08002B2CF9AE}" pid="34" name="lastDelim">
    <vt:lpwstr>, </vt:lpwstr>
  </property>
  <property fmtid="{D5CDD505-2E9C-101B-9397-08002B2CF9AE}" pid="35" name="linestretch">
    <vt:lpwstr>1.5</vt:lpwstr>
  </property>
  <property fmtid="{D5CDD505-2E9C-101B-9397-08002B2CF9AE}" pid="36" name="linkReferences">
    <vt:lpwstr>False</vt:lpwstr>
  </property>
  <property fmtid="{D5CDD505-2E9C-101B-9397-08002B2CF9AE}" pid="37" name="listItemTitleDelim">
    <vt:lpwstr>.</vt:lpwstr>
  </property>
  <property fmtid="{D5CDD505-2E9C-101B-9397-08002B2CF9AE}" pid="38" name="listingTemplate">
    <vt:lpwstr>listingTitle ititleDelim t</vt:lpwstr>
  </property>
  <property fmtid="{D5CDD505-2E9C-101B-9397-08002B2CF9AE}" pid="39" name="listingTitle">
    <vt:lpwstr>Листинг</vt:lpwstr>
  </property>
  <property fmtid="{D5CDD505-2E9C-101B-9397-08002B2CF9AE}" pid="40" name="listings">
    <vt:lpwstr>False</vt:lpwstr>
  </property>
  <property fmtid="{D5CDD505-2E9C-101B-9397-08002B2CF9AE}" pid="41" name="lof">
    <vt:lpwstr>True</vt:lpwstr>
  </property>
  <property fmtid="{D5CDD505-2E9C-101B-9397-08002B2CF9AE}" pid="42" name="lofItemTemplate">
    <vt:lpwstr>lofItemTitleilistItemTitleDelimt </vt:lpwstr>
  </property>
  <property fmtid="{D5CDD505-2E9C-101B-9397-08002B2CF9AE}" pid="43" name="lofItemTitle">
    <vt:lpwstr/>
  </property>
  <property fmtid="{D5CDD505-2E9C-101B-9397-08002B2CF9AE}" pid="44" name="lofTitle">
    <vt:lpwstr>Список иллюстраций</vt:lpwstr>
  </property>
  <property fmtid="{D5CDD505-2E9C-101B-9397-08002B2CF9AE}" pid="45" name="lolItemTemplate">
    <vt:lpwstr>lolItemTitleilistItemTitleDelimt </vt:lpwstr>
  </property>
  <property fmtid="{D5CDD505-2E9C-101B-9397-08002B2CF9AE}" pid="46" name="lolItemTitle">
    <vt:lpwstr/>
  </property>
  <property fmtid="{D5CDD505-2E9C-101B-9397-08002B2CF9AE}" pid="47" name="lolTitle">
    <vt:lpwstr>Листинги</vt:lpwstr>
  </property>
  <property fmtid="{D5CDD505-2E9C-101B-9397-08002B2CF9AE}" pid="48" name="lot">
    <vt:lpwstr>True</vt:lpwstr>
  </property>
  <property fmtid="{D5CDD505-2E9C-101B-9397-08002B2CF9AE}" pid="49" name="lotItemTemplate">
    <vt:lpwstr>lotItemTitleilistItemTitleDelimt </vt:lpwstr>
  </property>
  <property fmtid="{D5CDD505-2E9C-101B-9397-08002B2CF9AE}" pid="50" name="lotItemTitle">
    <vt:lpwstr/>
  </property>
  <property fmtid="{D5CDD505-2E9C-101B-9397-08002B2CF9AE}" pid="51" name="lotTitle">
    <vt:lpwstr>Список таблиц</vt:lpwstr>
  </property>
  <property fmtid="{D5CDD505-2E9C-101B-9397-08002B2CF9AE}" pid="52" name="lstLabels">
    <vt:lpwstr>arabic</vt:lpwstr>
  </property>
  <property fmtid="{D5CDD505-2E9C-101B-9397-08002B2CF9AE}" pid="53" name="lstPrefix">
    <vt:lpwstr/>
  </property>
  <property fmtid="{D5CDD505-2E9C-101B-9397-08002B2CF9AE}" pid="54" name="lstPrefixTemplate">
    <vt:lpwstr>p i</vt:lpwstr>
  </property>
  <property fmtid="{D5CDD505-2E9C-101B-9397-08002B2CF9AE}" pid="55" name="mainfont">
    <vt:lpwstr>Liberation Serif</vt:lpwstr>
  </property>
  <property fmtid="{D5CDD505-2E9C-101B-9397-08002B2CF9AE}" pid="56" name="mainfontoptions">
    <vt:lpwstr>Ligatures=Common,Ligatures=TeX,Scale=0.94</vt:lpwstr>
  </property>
  <property fmtid="{D5CDD505-2E9C-101B-9397-08002B2CF9AE}" pid="57" name="mathfont">
    <vt:lpwstr>STIX Two Math</vt:lpwstr>
  </property>
  <property fmtid="{D5CDD505-2E9C-101B-9397-08002B2CF9AE}" pid="58" name="monofont">
    <vt:lpwstr>Liberation Mono</vt:lpwstr>
  </property>
  <property fmtid="{D5CDD505-2E9C-101B-9397-08002B2CF9AE}" pid="59" name="monofontoptions">
    <vt:lpwstr>Scale=MatchLowercase,Scale=0.94,FakeStretch=0.9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Liberation Serif</vt:lpwstr>
  </property>
  <property fmtid="{D5CDD505-2E9C-101B-9397-08002B2CF9AE}" pid="70" name="romanfontoptions">
    <vt:lpwstr>Ligatures=Common,Ligatures=TeX,Scale=0.94</vt:lpwstr>
  </property>
  <property fmtid="{D5CDD505-2E9C-101B-9397-08002B2CF9AE}" pid="71" name="sansfont">
    <vt:lpwstr>Liberation Sans</vt:lpwstr>
  </property>
  <property fmtid="{D5CDD505-2E9C-101B-9397-08002B2CF9AE}" pid="72" name="sansfontoptions">
    <vt:lpwstr>Ligatures=Common,Ligatures=TeX,Scale=MatchLowercase,Scale=0.94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Номер 5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